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700"/>
        <w:gridCol w:w="20"/>
        <w:gridCol w:w="1980"/>
        <w:gridCol w:w="1000"/>
        <w:gridCol w:w="1200"/>
        <w:gridCol w:w="3500"/>
        <w:gridCol w:w="1000"/>
        <w:gridCol w:w="1500"/>
        <w:gridCol w:w="300"/>
        <w:gridCol w:w="100"/>
        <w:gridCol w:w="600"/>
      </w:tblGrid>
      <w:tr>
        <w:trPr>
          <w:trHeight w:hRule="exact" w:val="8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organization"/>
              <w:ind w:left="200" w:right="20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из Государственного информационного ресурса бухгалтерской (финансовой) отчетности (Ресурса БФО)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organization"/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Дата формирования информации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18.06.2026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Номер выгрузки информации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№ 0710096_2623035213_2025_000_20260618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Настоящая выгрузка содержит информацию о юридическом лице: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Полное наименование юридического лица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ООО "ШЕНСЕЛ"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organization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organization"/>
              <w:ind w:left="200" w:right="20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включенная в Государственный информационный ресурс бухгалтерской (финансовой) отчетности по состоянию на 18.06.2026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organization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ИНН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КПП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262301001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Код по ОКПО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50204179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Форма собственности (по ОКФС)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16 Частная собственность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Организационно-правовая форма (по ОКОПФ)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12300 Общества с ограниченной ответственностью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Местонахождение (адрес)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356246, Ставропольский край, р-н Шпаковский р-н, г Михайловск, ул Любимая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Единица измерения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  <w:u w:val="single"/>
              </w:rPr>
              <w:t xml:space="preserve">Тыс. руб.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Бухгалтерская отчетность подлежит обязательному аудиту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Нет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аудиторской организации/ФИО индивидуального аудитора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ИНН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ОГРН/ОГРНИП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Бухгалтерская отчетность подлежит утверждению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Нет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органа, утверждающего бухгалтерскую отчетность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Признак лица, подписавшего документ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ФИО руководителя (уполномоченного представителя)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organization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Шенгелия СУЛЕЙМАН ГЕЛАНОВИЧ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из ресурса БФО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Страница 1 из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 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18.06.2026 09:02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100"/>
        <w:gridCol w:w="1300"/>
        <w:gridCol w:w="600"/>
        <w:gridCol w:w="1000"/>
        <w:gridCol w:w="1800"/>
        <w:gridCol w:w="900"/>
        <w:gridCol w:w="1800"/>
        <w:gridCol w:w="200"/>
        <w:gridCol w:w="200"/>
        <w:gridCol w:w="600"/>
        <w:gridCol w:w="200"/>
        <w:gridCol w:w="600"/>
        <w:gridCol w:w="800"/>
        <w:gridCol w:w="100"/>
        <w:gridCol w:w="400"/>
        <w:gridCol w:w="500"/>
        <w:gridCol w:w="100"/>
      </w:tblGrid>
      <w:tr>
        <w:trPr>
          <w:trHeight w:hRule="exact" w:val="80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Форма по КНД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balance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0710096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КПП   262301001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Форма по ОКУД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balance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0710001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without_table_balance"/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Бухгалтерский баланс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balance"/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 31 декабря 2025 г.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Пояснения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1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показателя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20" w:right="2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Код строки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2025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2</w:t>
            </w:r>
          </w:p>
        </w:tc>
        <w:tc>
          <w:tcPr>
            <w:gridSpan w:val="5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2024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3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2023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gridSpan w:val="5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table_balance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АКТИВ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Материальные внеоборотные активы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5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1150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Нематериальные, финансовые и другие внеоборотные активы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6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1170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Запасы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1210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Денежные средства и денежные эквиваленты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1250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Финансовые и другие оборотные активы 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7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1240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БАЛАНС (актив)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1600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table_balance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ПАССИВ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Капитал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1300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Долгосрочные заемные средства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1410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Другие долгосрочные обязательства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1450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Краткосрочные заемные средства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1510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Краткосрочная кредиторская задолженность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1520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Другие краткосрочные обязательства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1550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left"/>
              <w:spacing w:lineRule="auto" w:line="240" w:after="0" w:before="4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table_balance"/>
              <w:ind w:left="60" w:right="60"/>
              <w:jc w:val="left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БАЛАНС (пассив)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table_balance"/>
              <w:ind w:left="20" w:right="2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1700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gridSpan w:val="5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balance"/>
              <w:ind w:left="60" w:right="60"/>
              <w:jc w:val="center"/>
              <w:spacing w:lineRule="auto" w:line="240" w:after="0" w:before="2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из ресурса БФО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Страница 2 из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 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18.06.2026 09:02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20"/>
        <w:gridCol w:w="1380"/>
        <w:gridCol w:w="600"/>
        <w:gridCol w:w="1000"/>
        <w:gridCol w:w="1000"/>
        <w:gridCol w:w="800"/>
        <w:gridCol w:w="900"/>
        <w:gridCol w:w="1800"/>
        <w:gridCol w:w="200"/>
        <w:gridCol w:w="1000"/>
        <w:gridCol w:w="600"/>
        <w:gridCol w:w="900"/>
        <w:gridCol w:w="400"/>
        <w:gridCol w:w="500"/>
        <w:gridCol w:w="100"/>
      </w:tblGrid>
      <w:tr>
        <w:trPr>
          <w:trHeight w:hRule="exact" w:val="800"/>
        </w:trPr>
        <w:tc>
          <w:tcPr>
     </w:tcPr>
          <w:p>
            <w:pPr>
              <w:pStyle w:val="EMPTY_CELL_STYLE"/>
              <w:pageBreakBefore/>
            </w:pPr>
            <w:bookmarkStart w:id="2" w:name="JR_PAGE_ANCHOR_0_3"/>
            <w:bookmarkEnd w:id="2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Пояснения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1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показателя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20" w:right="2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Код строки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2025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2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2024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3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 31 декабря 2023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balance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Шенгелия СУЛЕЙМАН ГЕЛАНОВИЧ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balance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Примечания: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номер соответствующего пояснения.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отчетная дата.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предыдущий год.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год, предшествующий предыдущему.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  <w:t xml:space="preserve"> В том числе основные средства, капитальные вложения в основные средства.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  <w:t xml:space="preserve"> В том числе капитальные вложения в нематериальные активы.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  <w:t xml:space="preserve"> В том числе дебиторская задолженность.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  <w:t xml:space="preserve"> Заполняется некоммерческими организациями вместо показателя "Капитал".</w:t>
              <w:br/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из ресурса БФО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Страница 3 из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 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18.06.2026 09:02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100"/>
        <w:gridCol w:w="1500"/>
        <w:gridCol w:w="400"/>
        <w:gridCol w:w="1000"/>
        <w:gridCol w:w="1000"/>
        <w:gridCol w:w="1600"/>
        <w:gridCol w:w="1000"/>
        <w:gridCol w:w="1100"/>
        <w:gridCol w:w="200"/>
        <w:gridCol w:w="640"/>
        <w:gridCol w:w="160"/>
        <w:gridCol w:w="800"/>
        <w:gridCol w:w="700"/>
        <w:gridCol w:w="300"/>
        <w:gridCol w:w="100"/>
        <w:gridCol w:w="500"/>
        <w:gridCol w:w="100"/>
      </w:tblGrid>
      <w:tr>
        <w:trPr>
          <w:trHeight w:hRule="exact" w:val="800"/>
        </w:trPr>
        <w:tc>
          <w:tcPr>
     </w:tcPr>
          <w:p>
            <w:pPr>
              <w:pStyle w:val="EMPTY_CELL_STYLE"/>
              <w:pageBreakBefore/>
            </w:pPr>
            <w:bookmarkStart w:id="3" w:name="JR_PAGE_ANCHOR_0_4"/>
            <w:bookmarkEnd w:id="3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Форма по КНД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fin_res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0710096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КПП   262301001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Форма по ОКУД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old_without_table_fin_res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0710002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Bold_without_table_fin_res"/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Отчет о финансовых результатах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fin_res"/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 2025 г.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Пояснения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1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показателя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Код строки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За 2025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2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За 2024 г.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gridSpan w:val="3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gridSpan w:val="4"/>
            <w:shd w:val="clear" w:color="auto" w:fill="FFFFFF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Italic_table_fin_res"/>
              <w:ind w:left="60" w:righ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Выручка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2110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Расходы по обычным видам деятельности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4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2120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(84)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5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Проценты к уплате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2330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(0)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Прочие доходы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2340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Прочие расходы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2350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(0)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(0)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Налог на прибыль (доходы) организаций</w:t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6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2410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left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Чистая прибыль (убыток)</w:t>
            </w:r>
          </w:p>
        </w:tc>
        <w:tc>
          <w:tcPr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2400</w:t>
            </w:r>
          </w:p>
        </w:tc>
        <w:tc>
          <w:tcPr>
            <w:gridSpan w:val="3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gridSpan w:val="4"/>
            <w:tcBorders>
              <w:top w:val="dotted" w:sz="1" w:space="0" w:color="000000"/>
              <w:left w:val="dotted" w:sz="1" w:space="0" w:color="000000"/>
              <w:bottom w:val="dotted" w:sz="1" w:space="0" w:color="000000"/>
              <w:right w:val="dotted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andart_table_fin_res"/>
              <w:ind w:left="60" w:right="60"/>
              <w:jc w:val="center"/>
              <w:spacing w:lineRule="auto" w:line="240" w:after="0" w:before="60"/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Шенгелия СУЛЕЙМАН ГЕЛАНОВИЧ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without_table_fin_res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Примечания: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номер соответствующего пояснения.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отчетный период.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  <w:t xml:space="preserve"> Указывается период предыдущего года, аналогичный отчетному периоду.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  <w:t xml:space="preserve"> В том числе себестоимость продаж, коммерческие и управленческие расходы.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  <w:t xml:space="preserve"> Здесь и в других формах отчетов вычитаемый или отрицательный показатель показывается в круглых скобках.</w:t>
              <w:br/>
            </w:r>
            <w:r>
              <w:rPr>
                <w:rFonts w:ascii="Times New Roman" w:hAnsi="Times New Roman" w:eastAsia="Times New Roman" w:cs="Times New Roman"/>
                <w:vertAlign w:val="superscript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  <w:t xml:space="preserve"> В том числе текущий налог на прибыль организаций, отложенный налог на прибыль организаций.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из ресурса БФО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ИНН   2623035213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Страница 4 из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 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page_footer"/>
              <w:ind/>
              <w:jc w:val="left"/>
            </w:pPr>
            <w:r>
              <w:rPr>
                <w:rFonts w:ascii="Times New Roman" w:hAnsi="Times New Roman" w:eastAsia="Times New Roman" w:cs="Times New Roman"/>
              </w:rPr>
              <w:t xml:space="preserve">18.06.2026 09:02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page_footer">
    <w:name w:val="page_footer"/>
    <w:qFormat/>
    <w:pPr>
      <w:ind/>
    </w:pPr>
    <w:rPr>
      <w:rFonts w:ascii="Times New Roman" w:hAnsi="Times New Roman" w:eastAsia="Times New Roman" w:cs="Times New Roman"/>
      <w:color w:val="808080"/>
      <w:sz w:val="20"/>
    </w:rPr>
  </w:style>
  <w:style w:type="paragraph" w:styleId="Standart_table_organization">
    <w:name w:val="Standart_table_organization"/>
    <w:qFormat/>
    <w:pPr>
      <w:ind/>
    </w:pPr>
    <w:rPr>
      <w:rFonts w:ascii="Times New Roman" w:hAnsi="Times New Roman" w:eastAsia="Times New Roman" w:cs="Times New Roman"/>
      <w:color w:val="000000"/>
      <w:sz w:val="24"/>
    </w:rPr>
  </w:style>
  <w:style w:type="paragraph" w:styleId="Italic_table_organization">
    <w:name w:val="Italic_table_organization"/>
    <w:qFormat/>
    <w:pPr>
      <w:ind/>
    </w:pPr>
    <w:rPr>
      <w:rFonts w:ascii="Times New Roman" w:hAnsi="Times New Roman" w:eastAsia="Times New Roman" w:cs="Times New Roman"/>
      <w:color w:val="000000"/>
      <w:sz w:val="24"/>
      <w:i w:val="true"/>
    </w:rPr>
  </w:style>
  <w:style w:type="paragraph" w:styleId="Standart_table_balance">
    <w:name w:val="Standart_table_balance"/>
    <w:qFormat/>
    <w:pPr>
      <w:ind/>
    </w:pPr>
    <w:rPr>
      <w:rFonts w:ascii="Times New Roman" w:hAnsi="Times New Roman" w:eastAsia="Times New Roman" w:cs="Times New Roman"/>
      <w:color w:val="000000"/>
      <w:sz w:val="24"/>
    </w:rPr>
  </w:style>
  <w:style w:type="paragraph" w:styleId="Italic_table_balance">
    <w:name w:val="Italic_table_balance"/>
    <w:qFormat/>
    <w:pPr>
      <w:ind/>
    </w:pPr>
    <w:rPr>
      <w:rFonts w:ascii="Times New Roman" w:hAnsi="Times New Roman" w:eastAsia="Times New Roman" w:cs="Times New Roman"/>
      <w:color w:val="000000"/>
      <w:sz w:val="24"/>
      <w:i w:val="true"/>
    </w:rPr>
  </w:style>
  <w:style w:type="paragraph" w:styleId="without_table_balance">
    <w:name w:val="without_table_balance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Bold_table_balance">
    <w:name w:val="Bold_table_balance"/>
    <w:qFormat/>
    <w:pPr>
      <w:ind/>
    </w:pPr>
    <w:rPr>
      <w:rFonts w:ascii="Times New Roman" w:hAnsi="Times New Roman" w:eastAsia="Times New Roman" w:cs="Times New Roman"/>
      <w:color w:val="000000"/>
      <w:sz w:val="24"/>
      <w:b w:val="true"/>
    </w:rPr>
  </w:style>
  <w:style w:type="paragraph" w:styleId="Bold_without_table_balance">
    <w:name w:val="Bold_without_table_balance"/>
    <w:qFormat/>
    <w:pPr>
      <w:ind/>
    </w:pPr>
    <w:rPr>
      <w:rFonts w:ascii="Times New Roman" w:hAnsi="Times New Roman" w:eastAsia="Times New Roman" w:cs="Times New Roman"/>
      <w:color w:val="000000"/>
      <w:sz w:val="20"/>
      <w:b w:val="true"/>
    </w:rPr>
  </w:style>
  <w:style w:type="paragraph" w:styleId="signature_balance">
    <w:name w:val="signature_balance"/>
    <w:qFormat/>
    <w:pPr>
      <w:ind/>
    </w:pPr>
    <w:rPr>
      <w:rFonts w:ascii="Times New Roman" w:hAnsi="Times New Roman" w:eastAsia="Times New Roman" w:cs="Times New Roman"/>
      <w:color w:val="000000"/>
      <w:sz w:val="24"/>
    </w:rPr>
  </w:style>
  <w:style w:type="paragraph" w:styleId="Standart_table_fin_res">
    <w:name w:val="Standart_table_fin_res"/>
    <w:qFormat/>
    <w:pPr>
      <w:ind/>
    </w:pPr>
    <w:rPr>
      <w:rFonts w:ascii="Times New Roman" w:hAnsi="Times New Roman" w:eastAsia="Times New Roman" w:cs="Times New Roman"/>
      <w:color w:val="000000"/>
      <w:sz w:val="24"/>
    </w:rPr>
  </w:style>
  <w:style w:type="paragraph" w:styleId="Italic_table_fin_res">
    <w:name w:val="Italic_table_fin_res"/>
    <w:qFormat/>
    <w:pPr>
      <w:ind/>
    </w:pPr>
    <w:rPr>
      <w:rFonts w:ascii="Times New Roman" w:hAnsi="Times New Roman" w:eastAsia="Times New Roman" w:cs="Times New Roman"/>
      <w:color w:val="000000"/>
      <w:sz w:val="24"/>
      <w:i w:val="true"/>
    </w:rPr>
  </w:style>
  <w:style w:type="paragraph" w:styleId="without_table_fin_res">
    <w:name w:val="without_table_fin_res"/>
    <w:qFormat/>
    <w:pPr>
      <w:ind/>
    </w:pPr>
    <w:rPr>
      <w:rFonts w:ascii="Times New Roman" w:hAnsi="Times New Roman" w:eastAsia="Times New Roman" w:cs="Times New Roman"/>
      <w:color w:val="000000"/>
      <w:sz w:val="20"/>
    </w:rPr>
  </w:style>
  <w:style w:type="paragraph" w:styleId="Bold_table_fin_res">
    <w:name w:val="Bold_table_fin_res"/>
    <w:qFormat/>
    <w:pPr>
      <w:ind/>
    </w:pPr>
    <w:rPr>
      <w:rFonts w:ascii="Times New Roman" w:hAnsi="Times New Roman" w:eastAsia="Times New Roman" w:cs="Times New Roman"/>
      <w:color w:val="000000"/>
      <w:sz w:val="24"/>
      <w:b w:val="true"/>
    </w:rPr>
  </w:style>
  <w:style w:type="paragraph" w:styleId="Bold_without_table_fin_res">
    <w:name w:val="Bold_without_table_fin_res"/>
    <w:qFormat/>
    <w:pPr>
      <w:ind/>
    </w:pPr>
    <w:rPr>
      <w:rFonts w:ascii="Times New Roman" w:hAnsi="Times New Roman" w:eastAsia="Times New Roman" w:cs="Times New Roman"/>
      <w:color w:val="000000"/>
      <w:sz w:val="20"/>
      <w:b w:val="true"/>
    </w:rPr>
  </w:style>
  <w:style w:type="paragraph" w:styleId="signature_fin_res">
    <w:name w:val="signature_fin_res"/>
    <w:qFormat/>
    <w:pPr>
      <w:ind/>
    </w:pPr>
    <w:rPr>
      <w:rFonts w:ascii="Times New Roman" w:hAnsi="Times New Roman" w:eastAsia="Times New Roman" w:cs="Times New Roman"/>
      <w:color w:val="000000"/>
      <w:sz w:val="24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6.15.0-dd49bfb94918336b8321d5507193f0169ead4e95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